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北京电子控股有限责任公司</w:t>
      </w: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eastAsia" w:ascii="方正小标宋简体" w:hAnsi="仿宋" w:eastAsia="方正小标宋简体"/>
          <w:sz w:val="44"/>
          <w:szCs w:val="44"/>
          <w:lang w:val="en-US" w:eastAsia="zh-CN"/>
        </w:rPr>
      </w:pPr>
      <w:r>
        <w:rPr>
          <w:rFonts w:hint="eastAsia" w:ascii="方正小标宋简体" w:hAnsi="仿宋" w:eastAsia="方正小标宋简体" w:cs="Times New Roman"/>
          <w:sz w:val="44"/>
          <w:szCs w:val="44"/>
        </w:rPr>
        <w:t>202</w:t>
      </w:r>
      <w:r>
        <w:rPr>
          <w:rFonts w:hint="eastAsia" w:ascii="方正小标宋简体" w:hAnsi="仿宋" w:eastAsia="方正小标宋简体" w:cs="Times New Roman"/>
          <w:sz w:val="44"/>
          <w:szCs w:val="44"/>
          <w:lang w:val="en-US" w:eastAsia="zh-CN"/>
        </w:rPr>
        <w:t>3</w:t>
      </w:r>
      <w:r>
        <w:rPr>
          <w:rFonts w:hint="eastAsia" w:ascii="方正小标宋简体" w:hAnsi="仿宋" w:eastAsia="方正小标宋简体"/>
          <w:sz w:val="44"/>
          <w:szCs w:val="44"/>
        </w:rPr>
        <w:t>年履行社会责任情况</w:t>
      </w:r>
      <w:r>
        <w:rPr>
          <w:rFonts w:hint="eastAsia" w:ascii="方正小标宋简体" w:hAnsi="仿宋" w:eastAsia="方正小标宋简体"/>
          <w:sz w:val="44"/>
          <w:szCs w:val="44"/>
          <w:lang w:val="en-US" w:eastAsia="zh-CN"/>
        </w:rPr>
        <w:t>报告</w:t>
      </w: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eastAsia" w:ascii="方正小标宋简体" w:hAnsi="仿宋" w:eastAsia="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contextualSpacing/>
        <w:jc w:val="left"/>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val="en-US" w:eastAsia="zh-CN"/>
        </w:rPr>
        <w:t>公司概况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contextualSpacing/>
        <w:jc w:val="left"/>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（一）公司简介</w:t>
      </w:r>
    </w:p>
    <w:p>
      <w:pPr>
        <w:pStyle w:val="8"/>
        <w:keepNext w:val="0"/>
        <w:keepLines w:val="0"/>
        <w:pageBreakBefore w:val="0"/>
        <w:kinsoku/>
        <w:wordWrap/>
        <w:overflowPunct/>
        <w:topLinePunct w:val="0"/>
        <w:autoSpaceDE/>
        <w:autoSpaceDN/>
        <w:bidi w:val="0"/>
        <w:adjustRightInd/>
        <w:snapToGrid/>
        <w:spacing w:line="560" w:lineRule="exact"/>
        <w:ind w:firstLine="640"/>
        <w:contextualSpacing/>
        <w:textAlignment w:val="auto"/>
        <w:rPr>
          <w:rFonts w:hint="default" w:ascii="仿宋" w:hAnsi="仿宋" w:eastAsia="仿宋" w:cs="仿宋"/>
          <w:kern w:val="2"/>
          <w:sz w:val="32"/>
          <w:szCs w:val="32"/>
          <w:lang w:val="en-US" w:eastAsia="zh-CN" w:bidi="ar-SA"/>
        </w:rPr>
      </w:pPr>
      <w:r>
        <w:rPr>
          <w:rFonts w:hint="eastAsia" w:ascii="仿宋" w:hAnsi="仿宋" w:eastAsia="仿宋" w:cs="仿宋"/>
          <w:color w:val="000000"/>
          <w:kern w:val="0"/>
          <w:sz w:val="32"/>
          <w:szCs w:val="32"/>
        </w:rPr>
        <w:t>北京电子控股有限责任公司（以下简称北京电控）是北京市国资委授权的以电子信息产业为主业的国有大型高科技产业集团，旗下二级企业</w:t>
      </w:r>
      <w:r>
        <w:rPr>
          <w:rFonts w:ascii="仿宋" w:hAnsi="仿宋" w:eastAsia="仿宋" w:cs="Times New Roman"/>
          <w:color w:val="000000"/>
          <w:kern w:val="0"/>
          <w:sz w:val="32"/>
          <w:szCs w:val="32"/>
        </w:rPr>
        <w:t>14</w:t>
      </w:r>
      <w:r>
        <w:rPr>
          <w:rFonts w:hint="eastAsia" w:ascii="仿宋" w:hAnsi="仿宋" w:eastAsia="仿宋" w:cs="仿宋"/>
          <w:color w:val="000000"/>
          <w:kern w:val="0"/>
          <w:sz w:val="32"/>
          <w:szCs w:val="32"/>
        </w:rPr>
        <w:t>家，事业单位</w:t>
      </w:r>
      <w:r>
        <w:rPr>
          <w:rFonts w:ascii="仿宋" w:hAnsi="仿宋" w:eastAsia="仿宋" w:cs="Times New Roman"/>
          <w:color w:val="000000"/>
          <w:kern w:val="0"/>
          <w:sz w:val="32"/>
          <w:szCs w:val="32"/>
        </w:rPr>
        <w:t>2</w:t>
      </w:r>
      <w:r>
        <w:rPr>
          <w:rFonts w:hint="eastAsia" w:ascii="仿宋" w:hAnsi="仿宋" w:eastAsia="仿宋" w:cs="仿宋"/>
          <w:color w:val="000000"/>
          <w:kern w:val="0"/>
          <w:sz w:val="32"/>
          <w:szCs w:val="32"/>
        </w:rPr>
        <w:t>家，在职职工1</w:t>
      </w:r>
      <w:r>
        <w:rPr>
          <w:rFonts w:ascii="仿宋" w:hAnsi="仿宋" w:eastAsia="仿宋" w:cs="仿宋"/>
          <w:color w:val="000000"/>
          <w:kern w:val="0"/>
          <w:sz w:val="32"/>
          <w:szCs w:val="32"/>
        </w:rPr>
        <w:t>0</w:t>
      </w:r>
      <w:r>
        <w:rPr>
          <w:rFonts w:hint="eastAsia" w:ascii="仿宋" w:hAnsi="仿宋" w:eastAsia="仿宋" w:cs="仿宋"/>
          <w:color w:val="000000"/>
          <w:kern w:val="0"/>
          <w:sz w:val="32"/>
          <w:szCs w:val="32"/>
        </w:rPr>
        <w:t>万人（其中北京地区</w:t>
      </w:r>
      <w:r>
        <w:rPr>
          <w:rFonts w:ascii="仿宋" w:hAnsi="仿宋" w:eastAsia="仿宋" w:cs="仿宋"/>
          <w:color w:val="000000"/>
          <w:kern w:val="0"/>
          <w:sz w:val="32"/>
          <w:szCs w:val="32"/>
        </w:rPr>
        <w:t>2.6</w:t>
      </w:r>
      <w:r>
        <w:rPr>
          <w:rFonts w:hint="eastAsia" w:ascii="仿宋" w:hAnsi="仿宋" w:eastAsia="仿宋" w:cs="仿宋"/>
          <w:color w:val="000000"/>
          <w:kern w:val="0"/>
          <w:sz w:val="32"/>
          <w:szCs w:val="32"/>
        </w:rPr>
        <w:t>万人）。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contextualSpacing/>
        <w:jc w:val="left"/>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（二）战略规划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contextualSpacing/>
        <w:jc w:val="both"/>
        <w:textAlignment w:val="auto"/>
        <w:rPr>
          <w:rFonts w:ascii="仿宋" w:hAnsi="仿宋" w:eastAsia="仿宋" w:cs="仿宋"/>
          <w:sz w:val="32"/>
          <w:szCs w:val="32"/>
        </w:rPr>
      </w:pPr>
      <w:r>
        <w:rPr>
          <w:rFonts w:hint="eastAsia" w:ascii="仿宋" w:hAnsi="仿宋" w:eastAsia="仿宋" w:cs="仿宋"/>
          <w:sz w:val="32"/>
          <w:szCs w:val="32"/>
        </w:rPr>
        <w:t>北</w:t>
      </w:r>
      <w:r>
        <w:rPr>
          <w:rFonts w:ascii="仿宋" w:hAnsi="仿宋" w:eastAsia="仿宋" w:cs="仿宋"/>
          <w:sz w:val="32"/>
          <w:szCs w:val="32"/>
        </w:rPr>
        <w:t>京电控坚持以习近平新时代中国特色社会主义思想为指导，</w:t>
      </w:r>
      <w:r>
        <w:rPr>
          <w:rFonts w:hint="eastAsia" w:ascii="仿宋" w:hAnsi="仿宋" w:eastAsia="仿宋" w:cs="仿宋"/>
          <w:sz w:val="32"/>
          <w:szCs w:val="32"/>
        </w:rPr>
        <w:t>深入贯彻落实党的二十大精神，</w:t>
      </w:r>
      <w:r>
        <w:rPr>
          <w:rFonts w:ascii="仿宋" w:hAnsi="仿宋" w:eastAsia="仿宋" w:cs="仿宋"/>
          <w:sz w:val="32"/>
          <w:szCs w:val="32"/>
        </w:rPr>
        <w:t>立足科技自立自强和北京</w:t>
      </w:r>
      <w:r>
        <w:rPr>
          <w:rFonts w:hint="eastAsia" w:ascii="仿宋" w:hAnsi="仿宋" w:eastAsia="仿宋" w:cs="仿宋"/>
          <w:sz w:val="32"/>
          <w:szCs w:val="32"/>
        </w:rPr>
        <w:t>“四个中心”建设，坚持转型发展、创新发展、融合发展、开放发展、共享发展的理念，</w:t>
      </w:r>
      <w:r>
        <w:rPr>
          <w:rFonts w:hint="default" w:ascii="仿宋" w:hAnsi="仿宋" w:eastAsia="仿宋" w:cs="仿宋"/>
          <w:sz w:val="32"/>
          <w:szCs w:val="32"/>
          <w:lang w:val="en-US" w:eastAsia="zh-CN"/>
        </w:rPr>
        <w:t>完成“十四五”战略中期评估和滚动修订</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升级</w:t>
      </w:r>
      <w:r>
        <w:rPr>
          <w:rFonts w:hint="eastAsia" w:ascii="仿宋" w:hAnsi="仿宋" w:eastAsia="仿宋" w:cs="仿宋"/>
          <w:sz w:val="32"/>
          <w:szCs w:val="32"/>
        </w:rPr>
        <w:t>“十四五”时期“一二一一”核心战略，构建以“芯屏”为核心的产业生态，不断增强技术创新能力和</w:t>
      </w:r>
      <w:r>
        <w:rPr>
          <w:rFonts w:hint="eastAsia" w:ascii="仿宋" w:hAnsi="仿宋" w:eastAsia="仿宋" w:cs="仿宋"/>
          <w:sz w:val="32"/>
          <w:szCs w:val="32"/>
          <w:lang w:val="en-US" w:eastAsia="zh-CN"/>
        </w:rPr>
        <w:t>数字化</w:t>
      </w:r>
      <w:r>
        <w:rPr>
          <w:rFonts w:hint="eastAsia" w:ascii="仿宋" w:hAnsi="仿宋" w:eastAsia="仿宋" w:cs="仿宋"/>
          <w:sz w:val="32"/>
          <w:szCs w:val="32"/>
        </w:rPr>
        <w:t>能力，提升产业发展自主可控水平，建设具有国际竞争力的高新技术产业集群、综合实力</w:t>
      </w:r>
      <w:r>
        <w:rPr>
          <w:rFonts w:hint="eastAsia" w:ascii="仿宋" w:hAnsi="仿宋" w:eastAsia="仿宋" w:cs="仿宋"/>
          <w:sz w:val="32"/>
          <w:szCs w:val="32"/>
          <w:lang w:val="en-US" w:eastAsia="zh-CN"/>
        </w:rPr>
        <w:t>稳居</w:t>
      </w:r>
      <w:r>
        <w:rPr>
          <w:rFonts w:hint="eastAsia" w:ascii="仿宋" w:hAnsi="仿宋" w:eastAsia="仿宋" w:cs="仿宋"/>
          <w:sz w:val="32"/>
          <w:szCs w:val="32"/>
        </w:rPr>
        <w:t>世界500强。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contextualSpacing/>
        <w:jc w:val="left"/>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（三）经营情况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707" w:firstLineChars="221"/>
        <w:jc w:val="both"/>
        <w:textAlignment w:val="auto"/>
        <w:rPr>
          <w:rFonts w:hint="default" w:ascii="仿宋" w:hAnsi="仿宋" w:eastAsia="仿宋" w:cs="仿宋_GB2312"/>
          <w:sz w:val="32"/>
          <w:szCs w:val="32"/>
          <w:highlight w:val="yellow"/>
          <w:lang w:val="en-US" w:eastAsia="zh-CN"/>
        </w:rPr>
      </w:pPr>
      <w:r>
        <w:rPr>
          <w:rFonts w:hint="eastAsia" w:ascii="仿宋" w:hAnsi="仿宋" w:eastAsia="仿宋" w:cs="仿宋"/>
          <w:sz w:val="32"/>
          <w:szCs w:val="32"/>
          <w:lang w:val="en-US" w:eastAsia="zh-CN"/>
        </w:rPr>
        <w:t>过去一年，疫情防控平稳转段，经济整体形势回升向好，公司重大项目有序推进，重点工作成效显著，经营工作运行在合理区间。集团</w:t>
      </w:r>
      <w:r>
        <w:rPr>
          <w:rFonts w:hint="eastAsia" w:ascii="仿宋" w:hAnsi="仿宋" w:eastAsia="仿宋" w:cs="仿宋"/>
          <w:kern w:val="2"/>
          <w:sz w:val="32"/>
          <w:szCs w:val="32"/>
          <w:highlight w:val="none"/>
        </w:rPr>
        <w:t>整体实现营业收入2129亿元、利润总额65亿元，</w:t>
      </w:r>
      <w:r>
        <w:rPr>
          <w:rFonts w:hint="default" w:ascii="仿宋" w:hAnsi="仿宋" w:eastAsia="仿宋" w:cs="仿宋"/>
          <w:kern w:val="2"/>
          <w:sz w:val="32"/>
          <w:szCs w:val="32"/>
          <w:lang w:val="en-US" w:eastAsia="zh-CN" w:bidi="ar"/>
        </w:rPr>
        <w:t>规模效益位居</w:t>
      </w:r>
      <w:r>
        <w:rPr>
          <w:rFonts w:hint="default" w:ascii="仿宋" w:hAnsi="仿宋" w:eastAsia="仿宋" w:cs="仿宋"/>
          <w:kern w:val="2"/>
          <w:sz w:val="32"/>
          <w:szCs w:val="32"/>
          <w:lang w:eastAsia="zh-CN" w:bidi="ar"/>
        </w:rPr>
        <w:t>北京</w:t>
      </w:r>
      <w:r>
        <w:rPr>
          <w:rFonts w:hint="default" w:ascii="仿宋" w:hAnsi="仿宋" w:eastAsia="仿宋" w:cs="仿宋"/>
          <w:kern w:val="2"/>
          <w:sz w:val="32"/>
          <w:szCs w:val="32"/>
          <w:lang w:val="en-US" w:eastAsia="zh-CN" w:bidi="ar"/>
        </w:rPr>
        <w:t>市属国企前列，为中长期战略目标的实现积蓄了发展势能，为全市经济企稳向好作出了积极贡献。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contextualSpacing/>
        <w:jc w:val="left"/>
        <w:textAlignment w:val="auto"/>
        <w:rPr>
          <w:rFonts w:hint="default" w:ascii="仿宋" w:hAnsi="仿宋" w:eastAsia="仿宋" w:cs="仿宋"/>
          <w:sz w:val="32"/>
          <w:szCs w:val="32"/>
          <w:lang w:val="en-US" w:eastAsia="zh-CN"/>
        </w:rPr>
      </w:pPr>
      <w:r>
        <w:rPr>
          <w:rFonts w:hint="eastAsia" w:ascii="黑体" w:hAnsi="黑体" w:eastAsia="黑体" w:cs="黑体"/>
          <w:kern w:val="2"/>
          <w:sz w:val="32"/>
          <w:szCs w:val="32"/>
          <w:lang w:val="en-US" w:eastAsia="zh-CN" w:bidi="ar-SA"/>
        </w:rPr>
        <w:t>二、坚持创新驱动，产业发展动能更加强劲</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楷体" w:hAnsi="楷体" w:eastAsia="楷体" w:cs="楷体"/>
          <w:sz w:val="32"/>
          <w:szCs w:val="32"/>
          <w:highlight w:val="none"/>
          <w:lang w:val="en-US" w:eastAsia="zh-CN"/>
        </w:rPr>
        <w:t>（一）</w:t>
      </w:r>
      <w:r>
        <w:rPr>
          <w:rFonts w:hint="default" w:ascii="楷体" w:hAnsi="楷体" w:eastAsia="楷体" w:cs="楷体"/>
          <w:sz w:val="32"/>
          <w:szCs w:val="32"/>
          <w:highlight w:val="none"/>
          <w:lang w:eastAsia="zh-CN"/>
        </w:rPr>
        <w:t>技术水平持续提升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cyan"/>
          <w:lang w:val="en-US" w:eastAsia="zh-CN"/>
        </w:rPr>
      </w:pPr>
      <w:r>
        <w:rPr>
          <w:rFonts w:hint="eastAsia" w:ascii="仿宋" w:hAnsi="仿宋" w:eastAsia="仿宋" w:cs="仿宋"/>
          <w:sz w:val="32"/>
          <w:szCs w:val="32"/>
          <w:lang w:val="en-US" w:eastAsia="zh-CN"/>
        </w:rPr>
        <w:t>研发投入力度</w:t>
      </w:r>
      <w:r>
        <w:rPr>
          <w:rFonts w:hint="default" w:ascii="仿宋" w:hAnsi="仿宋" w:eastAsia="仿宋" w:cs="仿宋"/>
          <w:sz w:val="32"/>
          <w:szCs w:val="32"/>
          <w:lang w:eastAsia="zh-CN"/>
        </w:rPr>
        <w:t>持续增强</w:t>
      </w:r>
      <w:r>
        <w:rPr>
          <w:rFonts w:hint="eastAsia" w:ascii="仿宋" w:hAnsi="仿宋" w:eastAsia="仿宋" w:cs="仿宋"/>
          <w:sz w:val="32"/>
          <w:szCs w:val="32"/>
          <w:lang w:val="en-US" w:eastAsia="zh-CN"/>
        </w:rPr>
        <w:t>，累计研发投入约156亿元，研发投入强度</w:t>
      </w:r>
      <w:r>
        <w:rPr>
          <w:rFonts w:hint="default" w:ascii="仿宋" w:hAnsi="仿宋" w:eastAsia="仿宋" w:cs="仿宋"/>
          <w:sz w:val="32"/>
          <w:szCs w:val="32"/>
          <w:lang w:eastAsia="zh-CN"/>
        </w:rPr>
        <w:t>超</w:t>
      </w:r>
      <w:r>
        <w:rPr>
          <w:rFonts w:hint="eastAsia" w:ascii="仿宋" w:hAnsi="仿宋" w:eastAsia="仿宋" w:cs="仿宋"/>
          <w:sz w:val="32"/>
          <w:szCs w:val="32"/>
          <w:lang w:val="en-US" w:eastAsia="zh-CN"/>
        </w:rPr>
        <w:t>8%</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新增专利申请量超8500件，其中发明专利超80%。</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产品首发和基础科学研究</w:t>
      </w:r>
      <w:r>
        <w:rPr>
          <w:rFonts w:hint="default" w:ascii="仿宋" w:hAnsi="仿宋" w:eastAsia="仿宋" w:cs="仿宋"/>
          <w:sz w:val="32"/>
          <w:szCs w:val="32"/>
          <w:lang w:eastAsia="zh-CN"/>
        </w:rPr>
        <w:t>取得突破</w:t>
      </w:r>
      <w:r>
        <w:rPr>
          <w:rFonts w:hint="eastAsia" w:ascii="仿宋" w:hAnsi="仿宋" w:eastAsia="仿宋" w:cs="仿宋"/>
          <w:sz w:val="32"/>
          <w:szCs w:val="32"/>
          <w:lang w:val="en-US" w:eastAsia="zh-CN"/>
        </w:rPr>
        <w:t>，半导体显示</w:t>
      </w:r>
      <w:r>
        <w:rPr>
          <w:rFonts w:hint="default" w:ascii="仿宋" w:hAnsi="仿宋" w:eastAsia="仿宋" w:cs="仿宋"/>
          <w:sz w:val="32"/>
          <w:szCs w:val="32"/>
          <w:lang w:eastAsia="zh-CN"/>
        </w:rPr>
        <w:t>产业</w:t>
      </w:r>
      <w:r>
        <w:rPr>
          <w:rFonts w:hint="eastAsia" w:ascii="仿宋" w:hAnsi="仿宋" w:eastAsia="仿宋" w:cs="仿宋"/>
          <w:sz w:val="32"/>
          <w:szCs w:val="32"/>
          <w:lang w:val="en-US" w:eastAsia="zh-CN"/>
        </w:rPr>
        <w:t>首发16K超高清110英寸显示屏、17英寸卷曲OLED产品、玻璃基主动式Mini LED等多领域多款新产品。集成电路装备</w:t>
      </w:r>
      <w:r>
        <w:rPr>
          <w:rFonts w:hint="default" w:ascii="仿宋" w:hAnsi="仿宋" w:eastAsia="仿宋" w:cs="仿宋"/>
          <w:sz w:val="32"/>
          <w:szCs w:val="32"/>
          <w:lang w:eastAsia="zh-CN"/>
        </w:rPr>
        <w:t>产业</w:t>
      </w:r>
      <w:r>
        <w:rPr>
          <w:rFonts w:hint="eastAsia" w:ascii="仿宋" w:hAnsi="仿宋" w:eastAsia="仿宋" w:cs="仿宋"/>
          <w:sz w:val="32"/>
          <w:szCs w:val="32"/>
          <w:lang w:val="en-US" w:eastAsia="zh-CN"/>
        </w:rPr>
        <w:t>持续推进下一代先进制程工艺装备研发，取得关键技术</w:t>
      </w:r>
      <w:r>
        <w:rPr>
          <w:rFonts w:hint="default" w:ascii="仿宋" w:hAnsi="仿宋" w:eastAsia="仿宋" w:cs="仿宋"/>
          <w:sz w:val="32"/>
          <w:szCs w:val="32"/>
          <w:lang w:eastAsia="zh-CN"/>
        </w:rPr>
        <w:t>攻关</w:t>
      </w:r>
      <w:r>
        <w:rPr>
          <w:rFonts w:hint="eastAsia" w:ascii="仿宋" w:hAnsi="仿宋" w:eastAsia="仿宋" w:cs="仿宋"/>
          <w:sz w:val="32"/>
          <w:szCs w:val="32"/>
          <w:lang w:val="en-US" w:eastAsia="zh-CN"/>
        </w:rPr>
        <w:t>。集成电路制造</w:t>
      </w:r>
      <w:r>
        <w:rPr>
          <w:rFonts w:hint="default" w:ascii="仿宋" w:hAnsi="仿宋" w:eastAsia="仿宋" w:cs="仿宋"/>
          <w:sz w:val="32"/>
          <w:szCs w:val="32"/>
          <w:lang w:eastAsia="zh-CN"/>
        </w:rPr>
        <w:t>产业</w:t>
      </w:r>
      <w:r>
        <w:rPr>
          <w:rFonts w:hint="eastAsia" w:ascii="仿宋" w:hAnsi="仿宋" w:eastAsia="仿宋" w:cs="仿宋"/>
          <w:sz w:val="32"/>
          <w:szCs w:val="32"/>
          <w:lang w:val="en-US" w:eastAsia="zh-CN"/>
        </w:rPr>
        <w:t>完成8英寸Trench-MOSFET、IGBT、MEMS等核心工艺平台研发，发布硅光PDK1.0，激光雷达、光开关实现流片。智能装备</w:t>
      </w:r>
      <w:r>
        <w:rPr>
          <w:rFonts w:hint="default" w:ascii="仿宋" w:hAnsi="仿宋" w:eastAsia="仿宋" w:cs="仿宋"/>
          <w:sz w:val="32"/>
          <w:szCs w:val="32"/>
          <w:lang w:eastAsia="zh-CN"/>
        </w:rPr>
        <w:t>产业</w:t>
      </w:r>
      <w:r>
        <w:rPr>
          <w:rFonts w:hint="eastAsia" w:ascii="仿宋" w:hAnsi="仿宋" w:eastAsia="仿宋" w:cs="仿宋"/>
          <w:sz w:val="32"/>
          <w:szCs w:val="32"/>
          <w:lang w:val="en-US" w:eastAsia="zh-CN"/>
        </w:rPr>
        <w:t>完成研制晶圆宏观缺陷检测二代机，完成显示面板微纳三维尺寸量测技术原理机设计。仪器仪表</w:t>
      </w:r>
      <w:r>
        <w:rPr>
          <w:rFonts w:hint="default" w:ascii="仿宋" w:hAnsi="仿宋" w:eastAsia="仿宋" w:cs="仿宋"/>
          <w:sz w:val="32"/>
          <w:szCs w:val="32"/>
          <w:lang w:val="en-US" w:eastAsia="zh-CN"/>
        </w:rPr>
        <w:t>产业</w:t>
      </w:r>
      <w:r>
        <w:rPr>
          <w:rFonts w:hint="eastAsia" w:ascii="仿宋" w:hAnsi="仿宋" w:eastAsia="仿宋" w:cs="仿宋"/>
          <w:sz w:val="32"/>
          <w:szCs w:val="32"/>
          <w:lang w:val="en-US" w:eastAsia="zh-CN"/>
        </w:rPr>
        <w:t>研发5款集成电路设备模块电源。</w:t>
      </w:r>
      <w:r>
        <w:rPr>
          <w:rFonts w:hint="default" w:ascii="仿宋" w:hAnsi="仿宋" w:eastAsia="仿宋" w:cs="仿宋"/>
          <w:sz w:val="32"/>
          <w:szCs w:val="32"/>
          <w:lang w:val="en-US" w:eastAsia="zh-CN"/>
        </w:rPr>
        <w:t>国际国内</w:t>
      </w:r>
      <w:r>
        <w:rPr>
          <w:rFonts w:hint="eastAsia" w:ascii="仿宋" w:hAnsi="仿宋" w:eastAsia="仿宋" w:cs="仿宋"/>
          <w:sz w:val="32"/>
          <w:szCs w:val="32"/>
          <w:lang w:val="en-US" w:eastAsia="zh-CN"/>
        </w:rPr>
        <w:t>认可度提升</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北方华创荣获2022年度北京市科学技术进步奖一等奖，京东方在CES 2023</w:t>
      </w:r>
      <w:r>
        <w:rPr>
          <w:rFonts w:hint="default" w:ascii="仿宋" w:hAnsi="仿宋" w:eastAsia="仿宋" w:cs="仿宋"/>
          <w:sz w:val="32"/>
          <w:szCs w:val="32"/>
          <w:lang w:eastAsia="zh-CN"/>
        </w:rPr>
        <w:t>和</w:t>
      </w:r>
      <w:r>
        <w:rPr>
          <w:rFonts w:hint="eastAsia" w:ascii="仿宋" w:hAnsi="仿宋" w:eastAsia="仿宋" w:cs="仿宋"/>
          <w:sz w:val="32"/>
          <w:szCs w:val="32"/>
          <w:lang w:val="en-US" w:eastAsia="zh-CN"/>
        </w:rPr>
        <w:t>2023 SID等行业权威展会斩获多项金奖。京东方国家级工业设计中心获批国家级技术创新平台，七星飞行和燕东科技获评国家级专精特新“小巨人”企业，集成电路设计公司获批国家科技型中小企业。与上海商汤智能科技合作出资成立北电数智，推动北京市数字经济算力中心项目建设。</w:t>
      </w:r>
    </w:p>
    <w:p>
      <w:pPr>
        <w:keepNext w:val="0"/>
        <w:keepLines w:val="0"/>
        <w:pageBreakBefore w:val="0"/>
        <w:numPr>
          <w:ilvl w:val="0"/>
          <w:numId w:val="1"/>
        </w:numPr>
        <w:kinsoku/>
        <w:wordWrap/>
        <w:overflowPunct/>
        <w:topLinePunct w:val="0"/>
        <w:autoSpaceDE/>
        <w:autoSpaceDN/>
        <w:bidi w:val="0"/>
        <w:adjustRightInd/>
        <w:snapToGrid/>
        <w:spacing w:line="560" w:lineRule="exact"/>
        <w:ind w:left="640" w:firstLine="0" w:firstLineChars="0"/>
        <w:textAlignment w:val="auto"/>
        <w:rPr>
          <w:rFonts w:hint="default" w:ascii="楷体" w:hAnsi="楷体" w:eastAsia="楷体" w:cs="楷体"/>
          <w:sz w:val="32"/>
          <w:szCs w:val="32"/>
          <w:highlight w:val="none"/>
          <w:lang w:eastAsia="zh-CN"/>
        </w:rPr>
      </w:pPr>
      <w:r>
        <w:rPr>
          <w:rFonts w:hint="default" w:ascii="楷体" w:hAnsi="楷体" w:eastAsia="楷体" w:cs="楷体"/>
          <w:sz w:val="32"/>
          <w:szCs w:val="32"/>
          <w:highlight w:val="none"/>
          <w:lang w:eastAsia="zh-CN"/>
        </w:rPr>
        <w:t>创新保障不断夯实</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楷体" w:hAnsi="楷体" w:eastAsia="楷体" w:cs="楷体"/>
          <w:sz w:val="32"/>
          <w:szCs w:val="32"/>
          <w:highlight w:val="none"/>
          <w:lang w:val="en-US" w:eastAsia="zh-CN"/>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大力引进科技领军人才，</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全系统共引进</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各类人才</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专家共44人</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获评</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“国家工程师奖”创新团队</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1个</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，多</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人入选</w:t>
      </w:r>
      <w:r>
        <w:rPr>
          <w:rFonts w:hint="default" w:ascii="Times New Roman" w:hAnsi="Times New Roman" w:eastAsia="仿宋_GB2312" w:cs="Times New Roman"/>
          <w:bCs/>
          <w:color w:val="000000" w:themeColor="text1"/>
          <w:sz w:val="32"/>
          <w:szCs w:val="32"/>
          <w14:textFill>
            <w14:solidFill>
              <w14:schemeClr w14:val="tx1"/>
            </w14:solidFill>
          </w14:textFill>
        </w:rPr>
        <w:t>国家级人才工程</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和</w:t>
      </w:r>
      <w:r>
        <w:rPr>
          <w:rFonts w:hint="default" w:ascii="Times New Roman" w:hAnsi="Times New Roman" w:eastAsia="仿宋_GB2312" w:cs="Times New Roman"/>
          <w:bCs/>
          <w:color w:val="000000" w:themeColor="text1"/>
          <w:sz w:val="32"/>
          <w:szCs w:val="32"/>
          <w14:textFill>
            <w14:solidFill>
              <w14:schemeClr w14:val="tx1"/>
            </w14:solidFill>
          </w14:textFill>
        </w:rPr>
        <w:t>北京市级人才工程</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14:textFill>
            <w14:solidFill>
              <w14:schemeClr w14:val="tx1"/>
            </w14:solidFill>
          </w14:textFill>
        </w:rPr>
        <w:t>1个优秀创新团队项目和</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13</w:t>
      </w:r>
      <w:r>
        <w:rPr>
          <w:rFonts w:hint="default" w:ascii="Times New Roman" w:hAnsi="Times New Roman" w:eastAsia="仿宋_GB2312" w:cs="Times New Roman"/>
          <w:bCs/>
          <w:color w:val="000000" w:themeColor="text1"/>
          <w:sz w:val="32"/>
          <w:szCs w:val="32"/>
          <w14:textFill>
            <w14:solidFill>
              <w14:schemeClr w14:val="tx1"/>
            </w14:solidFill>
          </w14:textFill>
        </w:rPr>
        <w:t>名高层次人才引进项目参与</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国有资本金项目</w:t>
      </w:r>
      <w:r>
        <w:rPr>
          <w:rFonts w:hint="default" w:ascii="Times New Roman" w:hAnsi="Times New Roman" w:eastAsia="仿宋_GB2312" w:cs="Times New Roman"/>
          <w:bCs/>
          <w:color w:val="000000" w:themeColor="text1"/>
          <w:sz w:val="32"/>
          <w:szCs w:val="32"/>
          <w14:textFill>
            <w14:solidFill>
              <w14:schemeClr w14:val="tx1"/>
            </w14:solidFill>
          </w14:textFill>
        </w:rPr>
        <w:t>评审，</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获批资金544</w:t>
      </w:r>
      <w:r>
        <w:rPr>
          <w:rFonts w:hint="default" w:ascii="Times New Roman" w:hAnsi="Times New Roman" w:eastAsia="仿宋_GB2312" w:cs="Times New Roman"/>
          <w:bCs/>
          <w:color w:val="000000" w:themeColor="text1"/>
          <w:sz w:val="32"/>
          <w:szCs w:val="32"/>
          <w14:textFill>
            <w14:solidFill>
              <w14:schemeClr w14:val="tx1"/>
            </w14:solidFill>
          </w14:textFill>
        </w:rPr>
        <w:t>万元。</w:t>
      </w:r>
      <w:r>
        <w:rPr>
          <w:rFonts w:hint="default" w:ascii="仿宋" w:hAnsi="仿宋" w:eastAsia="仿宋" w:cs="仿宋"/>
          <w:sz w:val="32"/>
          <w:szCs w:val="32"/>
          <w:lang w:eastAsia="zh-CN"/>
        </w:rPr>
        <w:t>完善激励机制体制，</w:t>
      </w:r>
      <w:r>
        <w:rPr>
          <w:rFonts w:hint="default" w:ascii="仿宋_GB2312" w:hAnsi="Calibri" w:eastAsia="仿宋_GB2312" w:cs="仿宋_GB2312"/>
          <w:kern w:val="2"/>
          <w:sz w:val="32"/>
          <w:szCs w:val="32"/>
          <w:lang w:val="en-US" w:eastAsia="zh-CN" w:bidi="ar"/>
        </w:rPr>
        <w:t>优化《北京电控中长期激励管理体系》和《北京电控中长期激励管理办法》（征求意见稿）及配套文件</w:t>
      </w:r>
      <w:r>
        <w:rPr>
          <w:rFonts w:hint="default" w:ascii="仿宋_GB2312" w:hAnsi="Calibri" w:eastAsia="仿宋_GB2312" w:cs="仿宋_GB2312"/>
          <w:kern w:val="2"/>
          <w:sz w:val="32"/>
          <w:szCs w:val="32"/>
          <w:lang w:eastAsia="zh-CN" w:bidi="ar"/>
        </w:rPr>
        <w:t>。</w:t>
      </w:r>
      <w:r>
        <w:rPr>
          <w:rFonts w:hint="default" w:ascii="仿宋_GB2312" w:hAnsi="Calibri" w:eastAsia="仿宋_GB2312" w:cs="仿宋_GB2312"/>
          <w:kern w:val="2"/>
          <w:sz w:val="32"/>
          <w:szCs w:val="32"/>
          <w:lang w:val="en-US" w:eastAsia="zh-CN" w:bidi="ar"/>
        </w:rPr>
        <w:t>构建综合匹配评估模型和立体式激励体系，以系统方法推动管理全系统中长期激励工作</w:t>
      </w:r>
      <w:r>
        <w:rPr>
          <w:rFonts w:hint="default" w:ascii="仿宋_GB2312" w:hAnsi="Calibri" w:eastAsia="仿宋_GB2312" w:cs="仿宋_GB2312"/>
          <w:kern w:val="2"/>
          <w:sz w:val="32"/>
          <w:szCs w:val="32"/>
          <w:lang w:eastAsia="zh-CN" w:bidi="ar"/>
        </w:rPr>
        <w:t>，</w:t>
      </w:r>
      <w:r>
        <w:rPr>
          <w:rFonts w:hint="default" w:ascii="仿宋_GB2312" w:hAnsi="Calibri" w:eastAsia="仿宋_GB2312" w:cs="仿宋_GB2312"/>
          <w:kern w:val="2"/>
          <w:sz w:val="32"/>
          <w:szCs w:val="32"/>
          <w:lang w:val="en-US" w:eastAsia="zh-CN" w:bidi="ar"/>
        </w:rPr>
        <w:t>初步形成具有市场竞争</w:t>
      </w:r>
      <w:bookmarkStart w:id="0" w:name="_GoBack"/>
      <w:bookmarkEnd w:id="0"/>
      <w:r>
        <w:rPr>
          <w:rFonts w:hint="default" w:ascii="仿宋_GB2312" w:hAnsi="Calibri" w:eastAsia="仿宋_GB2312" w:cs="仿宋_GB2312"/>
          <w:kern w:val="2"/>
          <w:sz w:val="32"/>
          <w:szCs w:val="32"/>
          <w:lang w:val="en-US" w:eastAsia="zh-CN" w:bidi="ar"/>
        </w:rPr>
        <w:t>力，凝聚人才，促进产业核心技术能力提升的中长期激励管理体系</w:t>
      </w:r>
      <w:r>
        <w:rPr>
          <w:rFonts w:hint="default" w:ascii="仿宋_GB2312" w:hAnsi="Calibri" w:eastAsia="仿宋_GB2312" w:cs="仿宋_GB2312"/>
          <w:kern w:val="2"/>
          <w:sz w:val="32"/>
          <w:szCs w:val="32"/>
          <w:lang w:eastAsia="zh-CN" w:bidi="ar"/>
        </w:rPr>
        <w:t>。调研走访</w:t>
      </w:r>
      <w:r>
        <w:rPr>
          <w:rFonts w:hint="default" w:ascii="仿宋_GB2312" w:hAnsi="Calibri" w:eastAsia="仿宋_GB2312" w:cs="仿宋_GB2312"/>
          <w:kern w:val="2"/>
          <w:sz w:val="32"/>
          <w:szCs w:val="32"/>
          <w:lang w:val="en-US" w:eastAsia="zh-CN" w:bidi="ar"/>
        </w:rPr>
        <w:t>梳理中长期激励需求27项，</w:t>
      </w:r>
      <w:r>
        <w:rPr>
          <w:rFonts w:hint="default" w:ascii="仿宋_GB2312" w:hAnsi="Calibri" w:eastAsia="仿宋_GB2312" w:cs="仿宋_GB2312"/>
          <w:kern w:val="2"/>
          <w:sz w:val="32"/>
          <w:szCs w:val="32"/>
          <w:lang w:eastAsia="zh-CN" w:bidi="ar"/>
        </w:rPr>
        <w:t>根据企业实际情况</w:t>
      </w:r>
      <w:r>
        <w:rPr>
          <w:rFonts w:hint="default" w:ascii="仿宋_GB2312" w:hAnsi="Calibri" w:eastAsia="仿宋_GB2312" w:cs="仿宋_GB2312"/>
          <w:kern w:val="2"/>
          <w:sz w:val="32"/>
          <w:szCs w:val="32"/>
          <w:lang w:val="en-US" w:eastAsia="zh-CN" w:bidi="ar"/>
        </w:rPr>
        <w:t>“一企一策”制定方案。</w:t>
      </w:r>
      <w:r>
        <w:rPr>
          <w:rFonts w:hint="default" w:ascii="仿宋_GB2312" w:hAnsi="Calibri" w:eastAsia="仿宋_GB2312" w:cs="仿宋_GB2312"/>
          <w:b w:val="0"/>
          <w:bCs w:val="0"/>
          <w:kern w:val="2"/>
          <w:sz w:val="32"/>
          <w:szCs w:val="32"/>
          <w:lang w:val="en-US" w:eastAsia="zh-CN" w:bidi="ar"/>
        </w:rPr>
        <w:t>健全中长期激励项目管理长效机制</w:t>
      </w:r>
      <w:r>
        <w:rPr>
          <w:rFonts w:hint="default" w:ascii="仿宋_GB2312" w:hAnsi="Calibri" w:eastAsia="仿宋_GB2312" w:cs="仿宋_GB2312"/>
          <w:b w:val="0"/>
          <w:bCs w:val="0"/>
          <w:kern w:val="2"/>
          <w:sz w:val="32"/>
          <w:szCs w:val="32"/>
          <w:lang w:eastAsia="zh-CN" w:bidi="ar"/>
        </w:rPr>
        <w:t>，</w:t>
      </w:r>
      <w:r>
        <w:rPr>
          <w:rFonts w:hint="default" w:ascii="仿宋_GB2312" w:hAnsi="Calibri" w:eastAsia="仿宋_GB2312" w:cs="仿宋_GB2312"/>
          <w:kern w:val="2"/>
          <w:sz w:val="32"/>
          <w:szCs w:val="32"/>
          <w:lang w:val="en-US" w:eastAsia="zh-CN" w:bidi="ar"/>
        </w:rPr>
        <w:t>全面梳理批复方案，</w:t>
      </w:r>
      <w:r>
        <w:rPr>
          <w:rFonts w:hint="default" w:ascii="仿宋_GB2312" w:hAnsi="Calibri" w:eastAsia="仿宋_GB2312" w:cs="仿宋_GB2312"/>
          <w:b w:val="0"/>
          <w:bCs w:val="0"/>
          <w:kern w:val="2"/>
          <w:sz w:val="32"/>
          <w:szCs w:val="32"/>
          <w:lang w:eastAsia="zh-CN" w:bidi="ar"/>
        </w:rPr>
        <w:t>确保激励方案依法合规。</w:t>
      </w:r>
      <w:r>
        <w:rPr>
          <w:rFonts w:hint="eastAsia" w:ascii="仿宋" w:hAnsi="仿宋" w:eastAsia="仿宋" w:cs="仿宋"/>
          <w:sz w:val="32"/>
          <w:szCs w:val="32"/>
          <w:lang w:val="en-US" w:eastAsia="zh-CN"/>
        </w:rPr>
        <w:t>营造创新文化氛围，举办北京电控第六届科技创新大会，表彰22个技术成果突出的创新项目，凝聚全系统创新文化力量</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成立北京电控科学技术协会，举办第二、第三届CTO论坛，进一步</w:t>
      </w:r>
      <w:r>
        <w:rPr>
          <w:rFonts w:hint="default" w:ascii="仿宋" w:hAnsi="仿宋" w:eastAsia="仿宋" w:cs="仿宋"/>
          <w:sz w:val="32"/>
          <w:szCs w:val="32"/>
          <w:lang w:eastAsia="zh-CN"/>
        </w:rPr>
        <w:t>浓厚</w:t>
      </w:r>
      <w:r>
        <w:rPr>
          <w:rFonts w:hint="eastAsia" w:ascii="仿宋" w:hAnsi="仿宋" w:eastAsia="仿宋" w:cs="仿宋"/>
          <w:sz w:val="32"/>
          <w:szCs w:val="32"/>
          <w:lang w:val="en-US" w:eastAsia="zh-CN"/>
        </w:rPr>
        <w:t>创新</w:t>
      </w:r>
      <w:r>
        <w:rPr>
          <w:rFonts w:hint="default" w:ascii="仿宋" w:hAnsi="仿宋" w:eastAsia="仿宋" w:cs="仿宋"/>
          <w:sz w:val="32"/>
          <w:szCs w:val="32"/>
          <w:lang w:eastAsia="zh-CN"/>
        </w:rPr>
        <w:t>创业良好</w:t>
      </w:r>
      <w:r>
        <w:rPr>
          <w:rFonts w:hint="eastAsia" w:ascii="仿宋" w:hAnsi="仿宋" w:eastAsia="仿宋" w:cs="仿宋"/>
          <w:sz w:val="32"/>
          <w:szCs w:val="32"/>
          <w:lang w:val="en-US" w:eastAsia="zh-CN"/>
        </w:rPr>
        <w:t>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contextualSpacing/>
        <w:jc w:val="left"/>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三、坚持规范高效，公司治理体系更加健全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firstLine="320" w:firstLineChars="100"/>
        <w:contextualSpacing/>
        <w:jc w:val="left"/>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（一）内控体系</w:t>
      </w:r>
      <w:r>
        <w:rPr>
          <w:rFonts w:hint="default" w:ascii="楷体" w:hAnsi="楷体" w:eastAsia="楷体" w:cs="楷体"/>
          <w:sz w:val="32"/>
          <w:szCs w:val="32"/>
          <w:lang w:eastAsia="zh-CN"/>
        </w:rPr>
        <w:t>建设融合贯通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contextualSpacing/>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完善全生命周期内控制度体系，修订《北京电控制度建设管理办法》，为</w:t>
      </w:r>
      <w:r>
        <w:rPr>
          <w:rFonts w:hint="default" w:ascii="仿宋" w:hAnsi="仿宋" w:eastAsia="仿宋" w:cs="仿宋"/>
          <w:sz w:val="32"/>
          <w:szCs w:val="32"/>
          <w:lang w:eastAsia="zh-CN"/>
        </w:rPr>
        <w:t>全系统</w:t>
      </w:r>
      <w:r>
        <w:rPr>
          <w:rFonts w:hint="eastAsia" w:ascii="仿宋" w:hAnsi="仿宋" w:eastAsia="仿宋" w:cs="仿宋"/>
          <w:sz w:val="32"/>
          <w:szCs w:val="32"/>
          <w:lang w:val="en-US" w:eastAsia="zh-CN"/>
        </w:rPr>
        <w:t>制度制定提供指引。结合战略目标任务制定年度制度建设计划，组织各部门修订管理制度、权限划分表、流程图和风险控制矩阵。加强重点领域体系建设，系统梳理大安全等重点领域制度体系框架，形成追究条款和绩效考核条款完善方案，全年累计发布管理制度135项。完善两级内控管理体系，优化三道防线为基本阵型的风险管理体系框架，进一步明确两级风险管理职能，重点辅导京东方B20、燕东12吋线、聚领科技等重点项目内控体系建设，持续提升科学管控能力。系统梳理所属单位应建立制度清单，指导所属单位开展制度自查并制定整改计划</w:t>
      </w:r>
      <w:r>
        <w:rPr>
          <w:rFonts w:hint="eastAsia" w:ascii="仿宋" w:hAnsi="仿宋" w:eastAsia="仿宋" w:cs="仿宋"/>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firstLine="320" w:firstLineChars="100"/>
        <w:contextualSpacing/>
        <w:jc w:val="left"/>
        <w:textAlignment w:val="auto"/>
        <w:rPr>
          <w:rFonts w:hint="default" w:ascii="楷体" w:hAnsi="楷体" w:eastAsia="楷体" w:cs="楷体"/>
          <w:sz w:val="32"/>
          <w:szCs w:val="32"/>
          <w:lang w:eastAsia="zh-CN"/>
        </w:rPr>
      </w:pPr>
      <w:r>
        <w:rPr>
          <w:rFonts w:hint="eastAsia" w:ascii="楷体" w:hAnsi="楷体" w:eastAsia="楷体" w:cs="楷体"/>
          <w:sz w:val="32"/>
          <w:szCs w:val="32"/>
          <w:lang w:val="en-US" w:eastAsia="zh-CN"/>
        </w:rPr>
        <w:t>（二）风险防控水平</w:t>
      </w:r>
      <w:r>
        <w:rPr>
          <w:rFonts w:hint="default" w:ascii="楷体" w:hAnsi="楷体" w:eastAsia="楷体" w:cs="楷体"/>
          <w:sz w:val="32"/>
          <w:szCs w:val="32"/>
          <w:lang w:eastAsia="zh-CN"/>
        </w:rPr>
        <w:t>不断提升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contextualSpacing/>
        <w:jc w:val="left"/>
        <w:textAlignment w:val="auto"/>
        <w:rPr>
          <w:rFonts w:hint="default" w:ascii="仿宋" w:hAnsi="仿宋" w:eastAsia="仿宋" w:cs="仿宋"/>
          <w:kern w:val="2"/>
          <w:sz w:val="32"/>
          <w:szCs w:val="32"/>
          <w:highlight w:val="green"/>
          <w:lang w:val="en-US" w:eastAsia="zh-CN" w:bidi="ar-SA"/>
        </w:rPr>
      </w:pPr>
      <w:r>
        <w:rPr>
          <w:rFonts w:hint="eastAsia" w:ascii="仿宋" w:hAnsi="仿宋" w:eastAsia="仿宋" w:cs="仿宋"/>
          <w:sz w:val="32"/>
          <w:szCs w:val="32"/>
          <w:lang w:val="en-US" w:eastAsia="zh-CN"/>
        </w:rPr>
        <w:t>开展风险定期评估工作，结合合规管理相关要求，2023年共识别公司层面风险46项，更新《风险数据库》，组织制定具体应对措施并跟踪其落实情况，提高风险应对水平。落实重大经营风险汇报机制，对所属单位重大风险事件进行监测，强化重大风险全过程管控。针对重点领域开展合规专项建设，制定《所属企业章程管理办法》《投资和并购基础合规风险库》《电控所属二级控股子企业章程范本》等制度文件。聚焦主责主业实现审计全覆盖，在全面覆盖基础上突出重点，加强对各产业平台重点项目和重要事项审计监督，聚焦重大战略、重大投资、重大举措落实情况，聚焦领导干部权力规范运行情况，聚焦经营管理、大额资金、境外京外等重点领域，2023年全系统开展各类审计项目199项，提出管理建议475条，及时对管理漏洞进行堵塞</w:t>
      </w:r>
      <w:r>
        <w:rPr>
          <w:rFonts w:hint="eastAsia" w:ascii="仿宋" w:hAnsi="仿宋" w:eastAsia="仿宋" w:cs="仿宋"/>
          <w:color w:val="auto"/>
          <w:sz w:val="32"/>
          <w:szCs w:val="32"/>
          <w:highlight w:val="none"/>
          <w:lang w:val="en-US" w:eastAsia="zh-CN"/>
        </w:rPr>
        <w:t>，提升公司防范风险水平。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firstLine="320" w:firstLineChars="100"/>
        <w:contextualSpacing/>
        <w:jc w:val="left"/>
        <w:textAlignment w:val="auto"/>
        <w:rPr>
          <w:rFonts w:hint="default" w:ascii="楷体" w:hAnsi="楷体" w:eastAsia="楷体" w:cs="楷体"/>
          <w:sz w:val="32"/>
          <w:szCs w:val="32"/>
          <w:lang w:eastAsia="zh-CN"/>
        </w:rPr>
      </w:pPr>
      <w:r>
        <w:rPr>
          <w:rFonts w:hint="eastAsia" w:ascii="楷体" w:hAnsi="楷体" w:eastAsia="楷体" w:cs="楷体"/>
          <w:sz w:val="32"/>
          <w:szCs w:val="32"/>
          <w:lang w:val="en-US" w:eastAsia="zh-CN"/>
        </w:rPr>
        <w:t>（三）数字化、信息化建设</w:t>
      </w:r>
      <w:r>
        <w:rPr>
          <w:rFonts w:hint="default" w:ascii="楷体" w:hAnsi="楷体" w:eastAsia="楷体" w:cs="楷体"/>
          <w:sz w:val="32"/>
          <w:szCs w:val="32"/>
          <w:lang w:eastAsia="zh-CN"/>
        </w:rPr>
        <w:t>全面推进</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制定数字化转型规划和实施方案，围绕数字产业化、产业数字化、数字化治理和网络安全四个方面，建设数字化转型体系，提升智能制造、数字化管控、数据治理能力，培育软件与数字服务产业，实现北京市数字化转型标杆企业目标。对标西门子、华为等企业数字化转型，编制完成《数字化转型规划落实的实施方案》《北京电控XC工作方案》，清晰数字化转型时间表和路线图。制定《数据治理管理办法》，初步建立数字化转型治理体系和数据治理体系。加强业务信息化系统建设，推动构建“一基、两翼、三化”总体框架，集约建设“横向打通、纵向贯通”的云架构系统。OA系统完成协同办公</w:t>
      </w:r>
      <w:r>
        <w:rPr>
          <w:rFonts w:hint="default" w:ascii="仿宋" w:hAnsi="仿宋" w:eastAsia="仿宋" w:cs="仿宋"/>
          <w:sz w:val="32"/>
          <w:szCs w:val="32"/>
          <w:lang w:eastAsia="zh-CN"/>
        </w:rPr>
        <w:t>和</w:t>
      </w:r>
      <w:r>
        <w:rPr>
          <w:rFonts w:hint="eastAsia" w:ascii="仿宋" w:hAnsi="仿宋" w:eastAsia="仿宋" w:cs="仿宋"/>
          <w:sz w:val="32"/>
          <w:szCs w:val="32"/>
          <w:lang w:val="en-US" w:eastAsia="zh-CN"/>
        </w:rPr>
        <w:t>决策会议等13项应用上线，推进建设协同高效的综合在线管控系统，提升企业管理的规范性和运行效率。9家二级单位完成企业邮箱建设，2家二级单位完成企业网站集约化建设，财务核算系统覆盖全系统150余家企业，13家二级单位完成投资管理系统集约化建设和共享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contextualSpacing/>
        <w:jc w:val="left"/>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四、坚持安全低碳，和谐稳定局面更加巩固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contextualSpacing/>
        <w:jc w:val="left"/>
        <w:textAlignment w:val="auto"/>
        <w:rPr>
          <w:rFonts w:hint="default" w:ascii="仿宋" w:hAnsi="仿宋" w:eastAsia="仿宋" w:cs="仿宋"/>
          <w:sz w:val="32"/>
          <w:szCs w:val="32"/>
          <w:lang w:eastAsia="zh-CN"/>
        </w:rPr>
      </w:pPr>
      <w:r>
        <w:rPr>
          <w:rFonts w:hint="eastAsia" w:ascii="楷体" w:hAnsi="楷体" w:eastAsia="楷体" w:cs="楷体"/>
          <w:sz w:val="32"/>
          <w:szCs w:val="32"/>
          <w:lang w:val="en-US" w:eastAsia="zh-CN"/>
        </w:rPr>
        <w:t>（</w:t>
      </w:r>
      <w:r>
        <w:rPr>
          <w:rFonts w:hint="default" w:ascii="楷体" w:hAnsi="楷体" w:eastAsia="楷体" w:cs="楷体"/>
          <w:sz w:val="32"/>
          <w:szCs w:val="32"/>
          <w:lang w:eastAsia="zh-CN"/>
        </w:rPr>
        <w:t>一</w:t>
      </w:r>
      <w:r>
        <w:rPr>
          <w:rFonts w:hint="eastAsia" w:ascii="楷体" w:hAnsi="楷体" w:eastAsia="楷体" w:cs="楷体"/>
          <w:sz w:val="32"/>
          <w:szCs w:val="32"/>
          <w:lang w:val="en-US" w:eastAsia="zh-CN"/>
        </w:rPr>
        <w:t>）安全管理能力</w:t>
      </w:r>
      <w:r>
        <w:rPr>
          <w:rFonts w:hint="default" w:ascii="楷体" w:hAnsi="楷体" w:eastAsia="楷体" w:cs="楷体"/>
          <w:sz w:val="32"/>
          <w:szCs w:val="32"/>
          <w:lang w:eastAsia="zh-CN"/>
        </w:rPr>
        <w:t>持续增强</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仿宋"/>
          <w:kern w:val="2"/>
          <w:sz w:val="32"/>
          <w:szCs w:val="32"/>
          <w:highlight w:val="green"/>
          <w:lang w:val="en-US" w:eastAsia="zh-CN" w:bidi="ar-SA"/>
        </w:rPr>
      </w:pPr>
      <w:r>
        <w:rPr>
          <w:rFonts w:hint="eastAsia" w:ascii="仿宋" w:hAnsi="仿宋" w:eastAsia="仿宋" w:cs="仿宋"/>
          <w:sz w:val="32"/>
          <w:szCs w:val="32"/>
          <w:lang w:val="en-US" w:eastAsia="zh-CN"/>
        </w:rPr>
        <w:t>搭建大安全管理体系，系统梳理经营安全和科技安全等8方面领域安全职责，提出6项落地实施机制，进一步统筹安全与发展，筑牢高质量发展根基。建立双重预防机制，将其纳入二级单位安全目标责任书，组建专家小组对</w:t>
      </w:r>
      <w:r>
        <w:rPr>
          <w:rFonts w:hint="default" w:ascii="仿宋" w:hAnsi="仿宋" w:eastAsia="仿宋" w:cs="仿宋"/>
          <w:sz w:val="32"/>
          <w:szCs w:val="32"/>
          <w:lang w:eastAsia="zh-CN"/>
        </w:rPr>
        <w:t>所属</w:t>
      </w:r>
      <w:r>
        <w:rPr>
          <w:rFonts w:hint="eastAsia" w:ascii="仿宋" w:hAnsi="仿宋" w:eastAsia="仿宋" w:cs="仿宋"/>
          <w:sz w:val="32"/>
          <w:szCs w:val="32"/>
          <w:lang w:val="en-US" w:eastAsia="zh-CN"/>
        </w:rPr>
        <w:t>单位开展指导，组织安全管理专家开展专项验收。强化安全教育培训，邀请外部行业知名教授专家，开办</w:t>
      </w:r>
      <w:r>
        <w:rPr>
          <w:rFonts w:hint="default" w:ascii="仿宋" w:hAnsi="仿宋" w:eastAsia="仿宋" w:cs="仿宋"/>
          <w:sz w:val="32"/>
          <w:szCs w:val="32"/>
          <w:lang w:eastAsia="zh-CN"/>
        </w:rPr>
        <w:t>系列</w:t>
      </w:r>
      <w:r>
        <w:rPr>
          <w:rFonts w:hint="eastAsia" w:ascii="仿宋" w:hAnsi="仿宋" w:eastAsia="仿宋" w:cs="仿宋"/>
          <w:sz w:val="32"/>
          <w:szCs w:val="32"/>
          <w:lang w:val="en-US" w:eastAsia="zh-CN"/>
        </w:rPr>
        <w:t>“安全讲坛”培训</w:t>
      </w:r>
      <w:r>
        <w:rPr>
          <w:rFonts w:hint="default" w:ascii="仿宋" w:hAnsi="仿宋" w:eastAsia="仿宋" w:cs="仿宋"/>
          <w:sz w:val="32"/>
          <w:szCs w:val="32"/>
          <w:lang w:eastAsia="zh-CN"/>
        </w:rPr>
        <w:t>和</w:t>
      </w:r>
      <w:r>
        <w:rPr>
          <w:rFonts w:hint="eastAsia" w:ascii="仿宋" w:hAnsi="仿宋" w:eastAsia="仿宋" w:cs="仿宋"/>
          <w:sz w:val="32"/>
          <w:szCs w:val="32"/>
          <w:lang w:val="en-US" w:eastAsia="zh-CN"/>
        </w:rPr>
        <w:t>安全管理人员能力提升专题培训，</w:t>
      </w:r>
      <w:r>
        <w:rPr>
          <w:rFonts w:hint="default" w:ascii="仿宋" w:hAnsi="仿宋" w:eastAsia="仿宋" w:cs="仿宋"/>
          <w:sz w:val="32"/>
          <w:szCs w:val="32"/>
          <w:lang w:eastAsia="zh-CN"/>
        </w:rPr>
        <w:t>总计</w:t>
      </w:r>
      <w:r>
        <w:rPr>
          <w:rFonts w:hint="eastAsia" w:ascii="仿宋" w:hAnsi="仿宋" w:eastAsia="仿宋" w:cs="仿宋"/>
          <w:sz w:val="32"/>
          <w:szCs w:val="32"/>
          <w:lang w:val="en-US" w:eastAsia="zh-CN"/>
        </w:rPr>
        <w:t>2000余人次参加。组织安全管理专家录制“</w:t>
      </w:r>
      <w:r>
        <w:rPr>
          <w:rFonts w:hint="eastAsia" w:ascii="仿宋" w:hAnsi="仿宋" w:eastAsia="仿宋" w:cs="仿宋"/>
          <w:kern w:val="2"/>
          <w:sz w:val="32"/>
          <w:szCs w:val="32"/>
          <w:lang w:val="en-US" w:eastAsia="zh-CN" w:bidi="ar-SA"/>
        </w:rPr>
        <w:t>专家讲安全环保”视频，丰富教育培训资源。</w:t>
      </w:r>
      <w:r>
        <w:rPr>
          <w:rFonts w:hint="eastAsia" w:ascii="仿宋" w:hAnsi="仿宋" w:eastAsia="仿宋" w:cs="仿宋"/>
          <w:sz w:val="32"/>
          <w:szCs w:val="32"/>
          <w:lang w:val="en-US" w:eastAsia="zh-CN"/>
        </w:rPr>
        <w:t>进一步健全完善接诉即办工作机制，优化工作流程，全年承接12345派单1200余单，</w:t>
      </w:r>
      <w:r>
        <w:rPr>
          <w:rFonts w:hint="eastAsia" w:ascii="仿宋" w:hAnsi="仿宋" w:eastAsia="仿宋" w:cs="仿宋"/>
          <w:sz w:val="32"/>
          <w:szCs w:val="32"/>
        </w:rPr>
        <w:t>工单响应率始终保持100%，诉求解决率、满意率100%</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firstLine="320" w:firstLineChars="100"/>
        <w:contextualSpacing/>
        <w:jc w:val="left"/>
        <w:textAlignment w:val="auto"/>
        <w:rPr>
          <w:rFonts w:hint="default" w:ascii="楷体" w:hAnsi="楷体" w:eastAsia="楷体" w:cs="楷体"/>
          <w:sz w:val="32"/>
          <w:szCs w:val="32"/>
          <w:lang w:eastAsia="zh-CN"/>
        </w:rPr>
      </w:pPr>
      <w:r>
        <w:rPr>
          <w:rFonts w:hint="eastAsia" w:ascii="楷体" w:hAnsi="楷体" w:eastAsia="楷体" w:cs="楷体"/>
          <w:sz w:val="32"/>
          <w:szCs w:val="32"/>
          <w:lang w:val="en-US" w:eastAsia="zh-CN"/>
        </w:rPr>
        <w:t>（</w:t>
      </w:r>
      <w:r>
        <w:rPr>
          <w:rFonts w:hint="default" w:ascii="楷体" w:hAnsi="楷体" w:eastAsia="楷体" w:cs="楷体"/>
          <w:sz w:val="32"/>
          <w:szCs w:val="32"/>
          <w:lang w:eastAsia="zh-CN"/>
        </w:rPr>
        <w:t>二</w:t>
      </w:r>
      <w:r>
        <w:rPr>
          <w:rFonts w:hint="eastAsia" w:ascii="楷体" w:hAnsi="楷体" w:eastAsia="楷体" w:cs="楷体"/>
          <w:sz w:val="32"/>
          <w:szCs w:val="32"/>
          <w:lang w:val="en-US" w:eastAsia="zh-CN"/>
        </w:rPr>
        <w:t>）</w:t>
      </w:r>
      <w:r>
        <w:rPr>
          <w:rFonts w:hint="default" w:ascii="楷体" w:hAnsi="楷体" w:eastAsia="楷体" w:cs="楷体"/>
          <w:sz w:val="32"/>
          <w:szCs w:val="32"/>
          <w:lang w:eastAsia="zh-CN"/>
        </w:rPr>
        <w:t>绿色低碳理念深化落实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contextualSpacing/>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结合产业发展实际制定碳达峰行动方案，明确了工作目标和行动路径，明确电控产业绿色低碳发展方向。搭建绿色低碳管理体系，围绕环境风险辨识管控和节能增效管理两大机制建设，制定工作技术指南和管理办法，为全面开展绿色低碳管理工作打牢基础落实垃圾分类工作要求，垃圾分类入户宣传比例100%，管理桶站技防设施安装比例100%。采购新能源公务车辆。围绕《北京市国民经济和社会发展第十四个五年规划和二零三五年远景目标纲要》，积极采购新能源汽车，2023年上半年完成采购国产新能源汽车5辆，下半年完成采购国产新能源汽车15辆，助力北京构建绿色低碳交通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contextualSpacing/>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五、坚持以人为本，企业人文关怀更加凸显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firstLine="320" w:firstLineChars="100"/>
        <w:contextualSpacing/>
        <w:jc w:val="left"/>
        <w:textAlignment w:val="auto"/>
        <w:rPr>
          <w:rFonts w:hint="default" w:ascii="楷体" w:hAnsi="楷体" w:eastAsia="楷体" w:cs="楷体"/>
          <w:sz w:val="32"/>
          <w:szCs w:val="32"/>
          <w:lang w:eastAsia="zh-CN"/>
        </w:rPr>
      </w:pPr>
      <w:r>
        <w:rPr>
          <w:rFonts w:hint="eastAsia" w:ascii="楷体" w:hAnsi="楷体" w:eastAsia="楷体" w:cs="楷体"/>
          <w:sz w:val="32"/>
          <w:szCs w:val="32"/>
          <w:lang w:val="en-US" w:eastAsia="zh-CN"/>
        </w:rPr>
        <w:t>（一）</w:t>
      </w:r>
      <w:r>
        <w:rPr>
          <w:rFonts w:hint="default" w:ascii="楷体" w:hAnsi="楷体" w:eastAsia="楷体" w:cs="楷体"/>
          <w:sz w:val="32"/>
          <w:szCs w:val="32"/>
          <w:lang w:eastAsia="zh-CN"/>
        </w:rPr>
        <w:t>公益事业持续开展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napToGrid w:val="0"/>
          <w:kern w:val="0"/>
          <w:sz w:val="32"/>
          <w:szCs w:val="32"/>
          <w:highlight w:val="none"/>
          <w:lang w:val="en-US" w:eastAsia="zh-CN"/>
        </w:rPr>
      </w:pPr>
      <w:r>
        <w:rPr>
          <w:rFonts w:hint="eastAsia" w:ascii="仿宋" w:hAnsi="仿宋" w:eastAsia="仿宋" w:cs="仿宋"/>
          <w:snapToGrid w:val="0"/>
          <w:kern w:val="0"/>
          <w:sz w:val="32"/>
          <w:szCs w:val="32"/>
          <w:highlight w:val="none"/>
          <w:lang w:val="en-US" w:eastAsia="zh-CN"/>
        </w:rPr>
        <w:t>落实乡村振兴工作要求，认真抓好落实</w:t>
      </w:r>
      <w:r>
        <w:rPr>
          <w:rFonts w:hint="eastAsia" w:ascii="仿宋" w:hAnsi="仿宋" w:eastAsia="仿宋" w:cs="仿宋"/>
          <w:snapToGrid w:val="0"/>
          <w:kern w:val="0"/>
          <w:sz w:val="32"/>
          <w:szCs w:val="32"/>
          <w:highlight w:val="none"/>
          <w:lang w:eastAsia="zh-CN"/>
        </w:rPr>
        <w:t>《2023年助力全面推进乡村振兴工作要点》，北京电控累计在双创中心采购1266.9206万元，完成采购计划的</w:t>
      </w:r>
      <w:r>
        <w:rPr>
          <w:rFonts w:hint="eastAsia" w:ascii="仿宋" w:hAnsi="仿宋" w:eastAsia="仿宋" w:cs="仿宋"/>
          <w:snapToGrid w:val="0"/>
          <w:kern w:val="0"/>
          <w:sz w:val="32"/>
          <w:szCs w:val="32"/>
          <w:highlight w:val="none"/>
          <w:lang w:val="en-US" w:eastAsia="zh-CN"/>
        </w:rPr>
        <w:t>1</w:t>
      </w:r>
      <w:r>
        <w:rPr>
          <w:rFonts w:hint="eastAsia" w:ascii="仿宋" w:hAnsi="仿宋" w:eastAsia="仿宋" w:cs="仿宋"/>
          <w:snapToGrid w:val="0"/>
          <w:kern w:val="0"/>
          <w:sz w:val="32"/>
          <w:szCs w:val="32"/>
          <w:highlight w:val="none"/>
          <w:lang w:eastAsia="zh-CN"/>
        </w:rPr>
        <w:t>26.69%，带动相关贫困人口超9924人，电控负责的五个集体经济薄弱村帮扶收入共计105.57万元，京东方等单位向贫困地区公益扶贫捐赠共计17万元。</w:t>
      </w:r>
      <w:r>
        <w:rPr>
          <w:rFonts w:hint="eastAsia" w:ascii="仿宋" w:hAnsi="仿宋" w:eastAsia="仿宋" w:cs="仿宋"/>
          <w:snapToGrid w:val="0"/>
          <w:kern w:val="0"/>
          <w:sz w:val="32"/>
          <w:szCs w:val="32"/>
          <w:highlight w:val="none"/>
          <w:lang w:val="en-US" w:eastAsia="zh-CN"/>
        </w:rPr>
        <w:t>开展公益志愿活动，北京电控团委和七星集团团委</w:t>
      </w:r>
      <w:r>
        <w:rPr>
          <w:rFonts w:hint="eastAsia" w:ascii="仿宋" w:hAnsi="仿宋" w:eastAsia="仿宋" w:cs="仿宋"/>
          <w:snapToGrid w:val="0"/>
          <w:kern w:val="0"/>
          <w:sz w:val="32"/>
          <w:szCs w:val="32"/>
          <w:highlight w:val="none"/>
          <w:lang w:eastAsia="zh-CN"/>
        </w:rPr>
        <w:t>承办品牌活动青创北京-首届潮购会，</w:t>
      </w:r>
      <w:r>
        <w:rPr>
          <w:rFonts w:hint="eastAsia" w:ascii="仿宋" w:hAnsi="仿宋" w:eastAsia="仿宋" w:cs="仿宋"/>
          <w:snapToGrid w:val="0"/>
          <w:kern w:val="0"/>
          <w:sz w:val="32"/>
          <w:szCs w:val="32"/>
          <w:highlight w:val="none"/>
          <w:lang w:val="en-US" w:eastAsia="zh-CN"/>
        </w:rPr>
        <w:t>组织青年志愿者</w:t>
      </w:r>
      <w:r>
        <w:rPr>
          <w:rFonts w:hint="eastAsia" w:ascii="仿宋" w:hAnsi="仿宋" w:eastAsia="仿宋" w:cs="仿宋"/>
          <w:snapToGrid w:val="0"/>
          <w:kern w:val="0"/>
          <w:sz w:val="32"/>
          <w:szCs w:val="32"/>
          <w:highlight w:val="none"/>
          <w:lang w:eastAsia="zh-CN"/>
        </w:rPr>
        <w:t>为活动举办提供全方位服务保障。</w:t>
      </w:r>
      <w:r>
        <w:rPr>
          <w:rFonts w:hint="eastAsia" w:ascii="仿宋" w:hAnsi="仿宋" w:eastAsia="仿宋" w:cs="仿宋"/>
          <w:snapToGrid w:val="0"/>
          <w:kern w:val="0"/>
          <w:sz w:val="32"/>
          <w:szCs w:val="32"/>
          <w:highlight w:val="none"/>
          <w:lang w:val="en-US" w:eastAsia="zh-CN"/>
        </w:rPr>
        <w:t>北京电控团委组织开展“好书伴成长”图书进校园活动，为对口支援帮扶地区累计捐助图书6165册。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firstLine="320" w:firstLineChars="100"/>
        <w:contextualSpacing/>
        <w:jc w:val="left"/>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（二）文化活动</w:t>
      </w:r>
      <w:r>
        <w:rPr>
          <w:rFonts w:hint="default" w:ascii="楷体" w:hAnsi="楷体" w:eastAsia="楷体" w:cs="楷体"/>
          <w:sz w:val="32"/>
          <w:szCs w:val="32"/>
          <w:lang w:eastAsia="zh-CN"/>
        </w:rPr>
        <w:t>凝</w:t>
      </w:r>
      <w:r>
        <w:rPr>
          <w:rFonts w:hint="eastAsia" w:ascii="楷体" w:hAnsi="楷体" w:eastAsia="楷体" w:cs="楷体"/>
          <w:sz w:val="32"/>
          <w:szCs w:val="32"/>
          <w:lang w:val="en-US" w:eastAsia="zh-CN"/>
        </w:rPr>
        <w:t>心聚气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napToGrid w:val="0"/>
          <w:kern w:val="0"/>
          <w:sz w:val="32"/>
          <w:szCs w:val="32"/>
          <w:lang w:val="en-US" w:eastAsia="zh-CN"/>
        </w:rPr>
      </w:pPr>
      <w:r>
        <w:rPr>
          <w:rFonts w:hint="eastAsia" w:ascii="仿宋" w:hAnsi="仿宋" w:eastAsia="仿宋" w:cs="仿宋"/>
          <w:snapToGrid w:val="0"/>
          <w:kern w:val="0"/>
          <w:sz w:val="32"/>
          <w:szCs w:val="32"/>
          <w:lang w:val="en-US" w:eastAsia="zh-CN"/>
        </w:rPr>
        <w:t>举办北京电控第二届职工运动会、北</w:t>
      </w:r>
      <w:r>
        <w:rPr>
          <w:rFonts w:hint="eastAsia" w:ascii="仿宋" w:hAnsi="仿宋" w:eastAsia="仿宋" w:cs="仿宋"/>
          <w:snapToGrid w:val="0"/>
          <w:kern w:val="0"/>
          <w:sz w:val="32"/>
          <w:szCs w:val="32"/>
        </w:rPr>
        <w:t>京电控“筑梦杯”保龄球比赛、北京电控健步走活动</w:t>
      </w:r>
      <w:r>
        <w:rPr>
          <w:rFonts w:hint="eastAsia" w:ascii="仿宋" w:hAnsi="仿宋" w:eastAsia="仿宋" w:cs="仿宋"/>
          <w:snapToGrid w:val="0"/>
          <w:kern w:val="0"/>
          <w:sz w:val="32"/>
          <w:szCs w:val="32"/>
          <w:lang w:val="en-US" w:eastAsia="zh-CN"/>
        </w:rPr>
        <w:t>，</w:t>
      </w:r>
      <w:r>
        <w:rPr>
          <w:rFonts w:hint="eastAsia" w:ascii="仿宋" w:hAnsi="仿宋" w:eastAsia="仿宋" w:cs="仿宋"/>
          <w:snapToGrid w:val="0"/>
          <w:kern w:val="0"/>
          <w:sz w:val="32"/>
          <w:szCs w:val="32"/>
        </w:rPr>
        <w:t>组织“牡丹之歌”艺术团参加北京市第十四届职工文化艺术节，</w:t>
      </w:r>
      <w:r>
        <w:rPr>
          <w:rFonts w:hint="eastAsia" w:ascii="仿宋" w:hAnsi="仿宋" w:eastAsia="仿宋" w:cs="仿宋"/>
          <w:snapToGrid w:val="0"/>
          <w:kern w:val="0"/>
          <w:sz w:val="32"/>
          <w:szCs w:val="32"/>
          <w:lang w:val="en-US" w:eastAsia="zh-CN"/>
        </w:rPr>
        <w:t>荣获</w:t>
      </w:r>
      <w:r>
        <w:rPr>
          <w:rFonts w:hint="eastAsia" w:ascii="仿宋" w:hAnsi="仿宋" w:eastAsia="仿宋" w:cs="仿宋"/>
          <w:snapToGrid w:val="0"/>
          <w:kern w:val="0"/>
          <w:sz w:val="32"/>
          <w:szCs w:val="32"/>
        </w:rPr>
        <w:t>二等</w:t>
      </w:r>
      <w:r>
        <w:rPr>
          <w:rFonts w:hint="eastAsia" w:ascii="仿宋" w:hAnsi="仿宋" w:eastAsia="仿宋" w:cs="仿宋"/>
          <w:snapToGrid w:val="0"/>
          <w:kern w:val="0"/>
          <w:sz w:val="32"/>
          <w:szCs w:val="32"/>
          <w:lang w:val="en-US" w:eastAsia="zh-CN"/>
        </w:rPr>
        <w:t>奖、</w:t>
      </w:r>
      <w:r>
        <w:rPr>
          <w:rFonts w:hint="eastAsia" w:ascii="仿宋" w:hAnsi="仿宋" w:eastAsia="仿宋" w:cs="仿宋"/>
          <w:snapToGrid w:val="0"/>
          <w:kern w:val="0"/>
          <w:sz w:val="32"/>
          <w:szCs w:val="32"/>
        </w:rPr>
        <w:t>三等奖</w:t>
      </w:r>
      <w:r>
        <w:rPr>
          <w:rFonts w:hint="eastAsia" w:ascii="仿宋" w:hAnsi="仿宋" w:eastAsia="仿宋" w:cs="仿宋"/>
          <w:snapToGrid w:val="0"/>
          <w:kern w:val="0"/>
          <w:sz w:val="32"/>
          <w:szCs w:val="32"/>
          <w:lang w:val="en-US" w:eastAsia="zh-CN"/>
        </w:rPr>
        <w:t>各</w:t>
      </w:r>
      <w:r>
        <w:rPr>
          <w:rFonts w:hint="eastAsia" w:ascii="仿宋" w:hAnsi="仿宋" w:eastAsia="仿宋" w:cs="仿宋"/>
          <w:snapToGrid w:val="0"/>
          <w:kern w:val="0"/>
          <w:sz w:val="32"/>
          <w:szCs w:val="32"/>
        </w:rPr>
        <w:t>1项</w:t>
      </w:r>
      <w:r>
        <w:rPr>
          <w:rFonts w:hint="eastAsia" w:ascii="仿宋" w:hAnsi="仿宋" w:eastAsia="仿宋" w:cs="仿宋"/>
          <w:snapToGrid w:val="0"/>
          <w:kern w:val="0"/>
          <w:sz w:val="32"/>
          <w:szCs w:val="32"/>
          <w:lang w:eastAsia="zh-CN"/>
        </w:rPr>
        <w:t>，</w:t>
      </w:r>
      <w:r>
        <w:rPr>
          <w:rFonts w:hint="eastAsia" w:ascii="仿宋" w:hAnsi="仿宋" w:eastAsia="仿宋" w:cs="仿宋"/>
          <w:snapToGrid w:val="0"/>
          <w:kern w:val="0"/>
          <w:sz w:val="32"/>
          <w:szCs w:val="32"/>
          <w:lang w:val="en-US" w:eastAsia="zh-CN"/>
        </w:rPr>
        <w:t>进一步增强全系统组织凝聚力和向心力</w:t>
      </w:r>
      <w:r>
        <w:rPr>
          <w:rFonts w:hint="eastAsia" w:ascii="仿宋" w:hAnsi="仿宋" w:eastAsia="仿宋" w:cs="仿宋"/>
          <w:snapToGrid w:val="0"/>
          <w:kern w:val="0"/>
          <w:sz w:val="32"/>
          <w:szCs w:val="32"/>
          <w:lang w:eastAsia="zh-CN"/>
        </w:rPr>
        <w:t>。</w:t>
      </w:r>
      <w:r>
        <w:rPr>
          <w:rFonts w:hint="eastAsia" w:ascii="仿宋" w:hAnsi="仿宋" w:eastAsia="仿宋" w:cs="仿宋"/>
          <w:snapToGrid w:val="0"/>
          <w:kern w:val="0"/>
          <w:sz w:val="32"/>
          <w:szCs w:val="32"/>
          <w:lang w:val="en-US" w:eastAsia="zh-CN"/>
        </w:rPr>
        <w:t>各所属单位结合北京市第十九届全民学习周工作要求和企业实际，围绕职工阅读、参观见学、交流平台、成果展示等方面开展了一系列形式多样的学习体验活动，丰富职工精神文化生活，提升职工文化素养和专业能力，为持续推进各级学习型组织建设注入强劲动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leftChars="0" w:firstLine="0" w:firstLineChars="0"/>
        <w:contextualSpacing/>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职工关怀温暖贴心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contextualSpacing/>
        <w:jc w:val="left"/>
        <w:textAlignment w:val="auto"/>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北京电控工会</w:t>
      </w:r>
      <w:r>
        <w:rPr>
          <w:rFonts w:hint="eastAsia" w:ascii="仿宋" w:hAnsi="仿宋" w:eastAsia="仿宋" w:cs="宋体"/>
          <w:kern w:val="0"/>
          <w:sz w:val="32"/>
          <w:szCs w:val="32"/>
        </w:rPr>
        <w:t>下拨职工之家建设</w:t>
      </w:r>
      <w:r>
        <w:rPr>
          <w:rFonts w:hint="eastAsia" w:ascii="仿宋" w:hAnsi="仿宋" w:eastAsia="仿宋" w:cs="宋体"/>
          <w:kern w:val="0"/>
          <w:sz w:val="32"/>
          <w:szCs w:val="32"/>
          <w:lang w:val="en-US" w:eastAsia="zh-CN"/>
        </w:rPr>
        <w:t>经</w:t>
      </w:r>
      <w:r>
        <w:rPr>
          <w:rFonts w:hint="eastAsia" w:ascii="仿宋" w:hAnsi="仿宋" w:eastAsia="仿宋" w:cs="宋体"/>
          <w:kern w:val="0"/>
          <w:sz w:val="32"/>
          <w:szCs w:val="32"/>
        </w:rPr>
        <w:t>费，</w:t>
      </w:r>
      <w:r>
        <w:rPr>
          <w:rFonts w:hint="eastAsia" w:ascii="仿宋" w:hAnsi="仿宋" w:eastAsia="仿宋" w:cs="宋体"/>
          <w:kern w:val="0"/>
          <w:sz w:val="32"/>
          <w:szCs w:val="32"/>
          <w:lang w:val="en-US" w:eastAsia="zh-CN"/>
        </w:rPr>
        <w:t>全力</w:t>
      </w:r>
      <w:r>
        <w:rPr>
          <w:rFonts w:hint="eastAsia" w:ascii="仿宋" w:hAnsi="仿宋" w:eastAsia="仿宋" w:cs="宋体"/>
          <w:kern w:val="0"/>
          <w:sz w:val="32"/>
          <w:szCs w:val="32"/>
        </w:rPr>
        <w:t>做好两节慰问、送清凉、送温暖工作。7月北京市</w:t>
      </w:r>
      <w:r>
        <w:rPr>
          <w:rFonts w:ascii="仿宋" w:hAnsi="仿宋" w:eastAsia="仿宋" w:cs="宋体"/>
          <w:kern w:val="0"/>
          <w:sz w:val="32"/>
          <w:szCs w:val="32"/>
        </w:rPr>
        <w:t>遭遇历史罕见特大暴雨</w:t>
      </w:r>
      <w:r>
        <w:rPr>
          <w:rFonts w:hint="eastAsia" w:ascii="仿宋" w:hAnsi="仿宋" w:eastAsia="仿宋" w:cs="宋体"/>
          <w:kern w:val="0"/>
          <w:sz w:val="32"/>
          <w:szCs w:val="32"/>
        </w:rPr>
        <w:t>，全系统千余名职工家庭受到不同程度的损失，电控工会及时行动，全面统计了解职工受灾情况，协助相关单位切实做好慰问帮扶工作。</w:t>
      </w:r>
      <w:r>
        <w:rPr>
          <w:rFonts w:hint="eastAsia" w:ascii="仿宋" w:hAnsi="仿宋" w:eastAsia="仿宋" w:cs="宋体"/>
          <w:kern w:val="0"/>
          <w:sz w:val="32"/>
          <w:szCs w:val="32"/>
          <w:lang w:val="en-US" w:eastAsia="zh-CN"/>
        </w:rPr>
        <w:t>为离休干部申报适老化安装，切实帮助解决实际困难，为离休老干部提供亲情化、个性化、多元化的精准服务。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highlight w:val="green"/>
          <w:lang w:val="en-US" w:eastAsia="zh-CN"/>
          <w14:textFill>
            <w14:solidFill>
              <w14:schemeClr w14:val="tx1"/>
            </w14:solidFill>
          </w14:textFill>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D7D7F2"/>
    <w:multiLevelType w:val="singleLevel"/>
    <w:tmpl w:val="77D7D7F2"/>
    <w:lvl w:ilvl="0" w:tentative="0">
      <w:start w:val="2"/>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YjY5OTI3MDFmZmI4NjMwZDI3MjQyODRlZjZmYzQifQ=="/>
  </w:docVars>
  <w:rsids>
    <w:rsidRoot w:val="7EFE64B5"/>
    <w:rsid w:val="056F012B"/>
    <w:rsid w:val="05C73592"/>
    <w:rsid w:val="17933AA5"/>
    <w:rsid w:val="1FAB6FE9"/>
    <w:rsid w:val="1FEC526E"/>
    <w:rsid w:val="1FFD6B12"/>
    <w:rsid w:val="2745785E"/>
    <w:rsid w:val="282B0CC8"/>
    <w:rsid w:val="2D7EC1F7"/>
    <w:rsid w:val="2EF71DFC"/>
    <w:rsid w:val="2FEBF167"/>
    <w:rsid w:val="2FFF11E4"/>
    <w:rsid w:val="30EE1B90"/>
    <w:rsid w:val="30FDCB72"/>
    <w:rsid w:val="32BF635E"/>
    <w:rsid w:val="37EFBFAE"/>
    <w:rsid w:val="41712601"/>
    <w:rsid w:val="4418463A"/>
    <w:rsid w:val="45413A7F"/>
    <w:rsid w:val="45437917"/>
    <w:rsid w:val="48263406"/>
    <w:rsid w:val="4E781F57"/>
    <w:rsid w:val="5DC0655D"/>
    <w:rsid w:val="5F7D3B96"/>
    <w:rsid w:val="60882F5C"/>
    <w:rsid w:val="640130D1"/>
    <w:rsid w:val="67B54E75"/>
    <w:rsid w:val="6BFD9806"/>
    <w:rsid w:val="6DBB54BD"/>
    <w:rsid w:val="6DBE392B"/>
    <w:rsid w:val="6DDE6791"/>
    <w:rsid w:val="6FEFD551"/>
    <w:rsid w:val="71432774"/>
    <w:rsid w:val="7205754C"/>
    <w:rsid w:val="7C673D83"/>
    <w:rsid w:val="7CFE45A1"/>
    <w:rsid w:val="7D365129"/>
    <w:rsid w:val="7E3C3448"/>
    <w:rsid w:val="7EFBBF42"/>
    <w:rsid w:val="7EFE64B5"/>
    <w:rsid w:val="7FDFA678"/>
    <w:rsid w:val="ADBF6929"/>
    <w:rsid w:val="B3BFD6E5"/>
    <w:rsid w:val="B572E4EF"/>
    <w:rsid w:val="BD740E80"/>
    <w:rsid w:val="D9B708A2"/>
    <w:rsid w:val="DBF4F162"/>
    <w:rsid w:val="E4979D3D"/>
    <w:rsid w:val="F75CB585"/>
    <w:rsid w:val="F7FD7E0B"/>
    <w:rsid w:val="FB9F13B7"/>
    <w:rsid w:val="FBCF393D"/>
    <w:rsid w:val="FBEE68DE"/>
    <w:rsid w:val="FE8FD4D0"/>
    <w:rsid w:val="FF3E1B15"/>
    <w:rsid w:val="FF5F1660"/>
    <w:rsid w:val="FFEB80BA"/>
    <w:rsid w:val="FFF5AB8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styleId="3">
    <w:name w:val="annotation text"/>
    <w:basedOn w:val="1"/>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2024-01-07T22:21:00Z</dcterms:created>
  <dc:creator>Albert</dc:creator>
  <cp:lastModifiedBy>Albert</cp:lastModifiedBy>
  <cp:lastPrinted>2024-01-18T08:08:00Z</cp:lastPrinted>
  <dcterms:modified xsi:type="dcterms:W3CDTF">2024-01-18T12:40:35Z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E0C7DD24D5614D82ADF32554AE37CF05_13</vt:lpwstr>
  </property>
</Properties>
</file>